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2760" w:leader="none"/>
        </w:tabs>
        <w:spacing w:lineRule="auto" w:line="24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Муниципальное бюджетное образовательное учреждение средняя общеобразовательная школа «Даниловский образовательный комплекс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zh-CN" w:bidi="ar-SA"/>
        </w:rPr>
        <w:t>№ 1»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0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УТВЕРЖДАЮ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А. Л. Холоднова 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«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01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» сентября 2026 г.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                                     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670" w:right="-143" w:hanging="0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Рабочая программа курса внеурочной деятельности 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«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Шахматы» 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2 класс 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</w:t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fill="FFFFFF" w:val="clear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Par28"/>
      <w:bookmarkEnd w:id="0"/>
      <w:r>
        <w:rPr>
          <w:rFonts w:cs="Times New Roman" w:ascii="Times New Roman" w:hAnsi="Times New Roman"/>
          <w:caps/>
          <w:sz w:val="28"/>
          <w:szCs w:val="28"/>
        </w:rPr>
        <w:t>202</w:t>
      </w:r>
      <w:r>
        <w:rPr>
          <w:rFonts w:cs="Times New Roman" w:ascii="Times New Roman" w:hAnsi="Times New Roman"/>
          <w:caps/>
          <w:sz w:val="28"/>
          <w:szCs w:val="28"/>
        </w:rPr>
        <w:t>6</w:t>
      </w:r>
      <w:r>
        <w:rPr>
          <w:rFonts w:cs="Times New Roman" w:ascii="Times New Roman" w:hAnsi="Times New Roman"/>
          <w:caps/>
          <w:sz w:val="28"/>
          <w:szCs w:val="28"/>
        </w:rPr>
        <w:t>-202</w:t>
      </w:r>
      <w:r>
        <w:rPr>
          <w:rFonts w:cs="Times New Roman" w:ascii="Times New Roman" w:hAnsi="Times New Roman"/>
          <w:caps/>
          <w:sz w:val="28"/>
          <w:szCs w:val="28"/>
        </w:rPr>
        <w:t xml:space="preserve">7 </w:t>
      </w:r>
      <w:r>
        <w:rPr>
          <w:rFonts w:cs="Times New Roman" w:ascii="Times New Roman" w:hAnsi="Times New Roman"/>
          <w:caps/>
          <w:sz w:val="28"/>
          <w:szCs w:val="28"/>
        </w:rPr>
        <w:t xml:space="preserve"> уч. Год</w:t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Соответствует ФГОС НОО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(приказ Министерства просвещения РФ от 31 мая 2021 г. № 286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с изменениями и дополнениями)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внеурочной деятельности для 2 года обучения (2 класс) составлена на основе требований ФГОС начального общего образования,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нашли свое отражение направления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 и программы развития вида спорта «шахматы» в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школьного образования активное освоение детьми шахмат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внеурочной деятельности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план внеурочной деятельности.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метапредметных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занятия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диалогизации образовательного процесса. Герои задают учащимся наводящие вопросы, побуждают их к рассуждениям и рефлексии.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Занятие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степень травмобезопасности.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Место курса «Шахматы в школе» в учебном плане внеурочной деятельности.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2 классах на изучение курса отводится 2 часа в неделю, суммарно 68 часов.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Из истории шахмат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каждом чемпионе мира по шахматам, их вкладе в развитие шахмат, знакомство с ведущими шахматистами мира.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Базовые понятия шахматной игры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Основы шахматной игры (повторение материала 1 года обучения: защита в шахматах, матование одинокого короля различными фигурами).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Шахматная комбинация: выигрыш материала. Основы дебюта: развитие фигур, дебютные ловушки, короткие партии. Основы эндшпиля: реализация большого материального преимущества.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Практико-соревновательная деятельность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решения позиций на тактические приёмы «связка», «двойной удар», «нападение», «защита», «сквозной удар», «ловля фигуры», «открытый шах», «двойной шах», «мат по последней горизонтали».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детей в шахматном турнире «Первенство класса».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школьном шахматном празднике.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Планируемые образовательные результаты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Личностные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Метапредметные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уметь видеть нападение со стороны партнера, защищать свои фигуры, нападать и создавать угрозы;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защищать свои фигуры от нападения и угроз;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решать шахматные задачи на тактику и видеть следующие тактические угрозы в партиях: двойной удар, связку, ловлю фигуры, сквозной удар, мат на последней горизонтали, открытый и двойной шахи;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ставить мат одинокому королю ладьей и королем;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разыгрывать шахматную партию с партнером от начала и до конца, правильно выводя фигуры в дебюте;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реализовывать большое материальное преимущество.</w:t>
      </w:r>
    </w:p>
    <w:p>
      <w:pPr>
        <w:pStyle w:val="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067"/>
        <w:gridCol w:w="905"/>
        <w:gridCol w:w="2721"/>
        <w:gridCol w:w="3651"/>
      </w:tblGrid>
      <w:tr>
        <w:trPr/>
        <w:tc>
          <w:tcPr>
            <w:tcW w:w="2067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905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2721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3651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>
        <w:trPr/>
        <w:tc>
          <w:tcPr>
            <w:tcW w:w="9344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>
        <w:trPr/>
        <w:tc>
          <w:tcPr>
            <w:tcW w:w="206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истории шахмат</w:t>
            </w:r>
          </w:p>
        </w:tc>
        <w:tc>
          <w:tcPr>
            <w:tcW w:w="90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каждом чемпионе мира по шахматам, их вкладе в развитие шахмат, знакомство с ведущими шахматистами мира.</w:t>
            </w:r>
          </w:p>
        </w:tc>
        <w:tc>
          <w:tcPr>
            <w:tcW w:w="36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Знают о вкладе чемпионов мира по шахматам в развитие шахматной культуры.</w:t>
            </w:r>
          </w:p>
        </w:tc>
      </w:tr>
      <w:tr>
        <w:trPr/>
        <w:tc>
          <w:tcPr>
            <w:tcW w:w="206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90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72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шахматной игры (повторение материала 1 года обучения: защита в шахматах, матование одинокого короля различными фигурами).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Шахматная комбинация: выигрыш материала. Основы дебюта: развитие фигур, дебютные ловушки, короткие партии. Основы эндшпиля: реализация большого материального преимущества.</w:t>
            </w:r>
          </w:p>
        </w:tc>
        <w:tc>
          <w:tcPr>
            <w:tcW w:w="36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Знают способы защиты в шахматной партии, элементарные шахматные комбинации, имеют представление о дебютных ловушках и о том, как в них не попадаться.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Умеют видеть нападение и защищать свои фигуры от нападения партнёра, матовать одинокого короля двумя ладьями, ферзём и ладьёй, королём и ферзём, королём и ладьёй, могут находить элементарные шахматные комбинации: двойной удар, связку, ловлю фигуры, мат на последней горизонтали, сквозной удар, открытый и двойной шахи, знают, как правильно выводить фигуры в начале партии и выигрывать партию с большим материальным преимуществом. Соблюдают правила поведения за шахматной доской.</w:t>
            </w:r>
          </w:p>
        </w:tc>
      </w:tr>
      <w:tr>
        <w:trPr/>
        <w:tc>
          <w:tcPr>
            <w:tcW w:w="9344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2. Практико-соревновательная деятельность</w:t>
            </w:r>
          </w:p>
        </w:tc>
      </w:tr>
      <w:tr>
        <w:trPr/>
        <w:tc>
          <w:tcPr>
            <w:tcW w:w="206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90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2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 на тактические приёмы «связка», «двойной удар», «нападение», «защита», «сквозной удар», «ловля фигуры», «открытый шах», «двойной шах», «мат по последней горизонтали».</w:t>
            </w:r>
          </w:p>
        </w:tc>
        <w:tc>
          <w:tcPr>
            <w:tcW w:w="36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Расставляют позицию для решения упражнений, решают шахматные упражнения. Анализируют свои ответы и ответы своих сверстников.   С помощью тестового задания оценивают собственное выполнение.</w:t>
            </w:r>
          </w:p>
        </w:tc>
      </w:tr>
      <w:tr>
        <w:trPr/>
        <w:tc>
          <w:tcPr>
            <w:tcW w:w="206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</w:t>
            </w:r>
          </w:p>
        </w:tc>
        <w:tc>
          <w:tcPr>
            <w:tcW w:w="90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72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36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Умеют играть партию от начала до конца с записью и различным контролем времени.</w:t>
            </w:r>
          </w:p>
        </w:tc>
      </w:tr>
      <w:tr>
        <w:trPr/>
        <w:tc>
          <w:tcPr>
            <w:tcW w:w="206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90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школьном шахматном празднике.</w:t>
            </w:r>
          </w:p>
        </w:tc>
        <w:tc>
          <w:tcPr>
            <w:tcW w:w="36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Осваивают правила игры.  Активно участвуют в играх и эстафетах.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решении вариативных задач, возникающих в процессе игр.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Регулируют эмоции в процессе игровой деятельности, умеют управлять ими.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Пример годового планирования занятий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20"/>
        <w:gridCol w:w="3258"/>
        <w:gridCol w:w="973"/>
        <w:gridCol w:w="4493"/>
      </w:tblGrid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истории шахмат. Чемпионы мира по шахматам и выдающиеся шахматисты мира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о важности соблюдения правил техники безопасности на занятиях по шахматам. Из истории шахмат: знакомство с именами шахматистов – чемпионов мира, ведущих шахматистов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Шахматные фигуры (повторение)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Нападение в шахматной партии. Шах и защита от него. Рокировка (повторение)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Мат. Пат. Мат одинокому королю королём и ладьёй. Мат в один ход (повторение)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в шахматной партии: уход из-под нападения, уничтожение атакующей фигуры, защита фигуры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понятием «защита» в шахматной партии и такими действиями против угроз партнёра, как уход изпод нападения, уничтожение атакующей фигуры, защита фигуры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в шахматной партии: перекрытие, контрнападение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двумя другими видами защиты в шахматной партии – перекрытием, контрнападением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тактических приёмов, пройденных на занятиях 9-12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«двойной удар»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тактическим приёмом «двойной удар», способами нанесения двойного удара различными фигурами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«связка»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тактическим приёмом «связка», понятиями «полная» и «неполная» связка, «давление» на связку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тактических приёмов, пройденных на занятиях 15-18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21-22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«ловля фигуры»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тактическим приёмом «ловля фигуры» и способами его применения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«сквозной удар»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тактическим приёмом «сквозной удар» и способами его применения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 на последней горизонтали 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Слабость последней горизонтали, «форточка»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27-28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решения позиций: как бы вы сыграли? 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тактических приёмов, пройденных на занятиях 21-26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«открытый шах»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тактическим приёмом «открытый шах» и способами его практического применения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31-32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«двойной шах»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тактическим приёмом «двойной шах» и способами его практического применения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33-40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41-42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игры в дебюте: дебютные ловушки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Раскрытие основных принципов игры в дебюте, знакомство с понятиями «дебют», «детский мат», «мат Легаля»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43-46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игры в дебюте: атака на короля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таким методом игры в дебюте, как атака на короля партнёра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47-50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эндшпиля: реализация большого материального преимущества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понятием «реализация преимущества» и такими способами реализации преимущества, как игра на мат, размен одноимённых фигур для увеличения материального перевеса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51-56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анализа шахматной партии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и анализ коротких  шахматных партий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57-58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41-50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67-68</w:t>
            </w:r>
          </w:p>
        </w:tc>
        <w:tc>
          <w:tcPr>
            <w:tcW w:w="3258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Шахматный праздник </w:t>
            </w:r>
          </w:p>
        </w:tc>
        <w:tc>
          <w:tcPr>
            <w:tcW w:w="973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9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заданий, игровая практика</w:t>
            </w:r>
          </w:p>
        </w:tc>
      </w:tr>
    </w:tbl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Учебно-методическое обеспечение образовательного процесса</w:t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2 класс : учебник / Е. А. Прудникова, Е. И. Волкова. — Москва: Просвещение, 2024. — 160 с.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2 класс : рабочая тетрадь. / Е. А. Прудникова, Е. И. Волкова. — Москва: Просвещение, 2026. — 80 с.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учителя: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Диченскова А. М. Физкультминутки и пальчиковые игры в начальной школе / А. М Диченскова. – Ростов н/Д: Феникс, 2014.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Уманская Э. Э. Настольная книга учителя шахмат. – Москва, 2022. 280 с.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Волшебные фигуры, или Шахматы для детей 2–5 лет / И. Г. Сухин. – Москва: Новая школа, 1994.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Приключения в Шахматной стране / И. Г. Сухин. – Москва: Педагогика, 1991.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Удивительные приключения в Шахматной стране / И. Г. Сухин. – Москва: Поматур,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 для самых маленьких / И. Г. Сухин. – Москва: Астрель, АСТ,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Шахматы, первый год, или Там клетки чёрно-белые чудес и тайн полны: учеб. для 1 класса четырёхлетней и трёхлетней начальной школы / И. Г. Сухин. – Обнинск: Духовное возрождение, 1998.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Сухин И. Г. Шахматы, первый год, или Учусь и учу: пособие для учителя / И. Г. Сухин. – Обнинск: Духовное возрождение, 1999.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2 класс : методическое пособие / Е. А. Прудникова, Е. И. Волкова. — Москва : Просвещение, 2023. — 80 с.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cs="Times New Roman" w:ascii="Times New Roman" w:hAnsi="Times New Roman"/>
          <w:sz w:val="28"/>
          <w:szCs w:val="28"/>
        </w:rPr>
        <w:t>Шахматы в школе. 1-7 классы. Сборник примерных рабочих программ / Е. А. Прудникова, Е. И. Волкова. — Москва : Просвещение, 2023. — 64 с.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Спортивная федерация шахмат Ярославской области [Электронный ресурс]. – Ярославль, 2024. – Режим доступа: </w:t>
      </w:r>
      <w:hyperlink r:id="rId2">
        <w:r>
          <w:rPr>
            <w:rFonts w:cs="Times New Roman" w:ascii="Times New Roman" w:hAnsi="Times New Roman"/>
            <w:sz w:val="28"/>
            <w:szCs w:val="28"/>
          </w:rPr>
          <w:t>https://yaroblchess.ru/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Style w:val="Style1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Шахматное образование в Ярославской области / ЦНППМ [Электронный ресурс]. – Ярославль, 2024. – Режим доступа: </w:t>
      </w:r>
      <w:hyperlink r:id="rId3">
        <w:r>
          <w:rPr>
            <w:rFonts w:cs="Times New Roman" w:ascii="Times New Roman" w:hAnsi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Шахматы в школах [Электронный ресурс]. – М. – Режим доступа: </w:t>
      </w:r>
      <w:hyperlink r:id="rId4">
        <w:r>
          <w:rPr>
            <w:rFonts w:cs="Times New Roman" w:ascii="Times New Roman" w:hAnsi="Times New Roman"/>
            <w:sz w:val="28"/>
            <w:szCs w:val="28"/>
          </w:rPr>
          <w:t>https://chessinschools.ru/</w:t>
        </w:r>
      </w:hyperlink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Федерация шахмат России [Электронный ресурс]. – М. : 2006-2024 ФШР. – Режим доступа: </w:t>
      </w:r>
      <w:hyperlink r:id="rId5">
        <w:r>
          <w:rPr>
            <w:rFonts w:cs="Times New Roman" w:ascii="Times New Roman" w:hAnsi="Times New Roman"/>
            <w:sz w:val="28"/>
            <w:szCs w:val="28"/>
          </w:rPr>
          <w:t>Федерация шахмат России (ruchess.ru)</w:t>
        </w:r>
      </w:hyperlink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Материально-техническое обеспечение: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демонстрационная с фигурами демонстрационными;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с фигурами шахматными;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секундомер;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часы шахматные</w:t>
      </w:r>
      <w:r>
        <w:rPr>
          <w:rFonts w:cs="Times New Roman" w:ascii="Times New Roman" w:hAnsi="Times New Roman"/>
          <w:color w:val="212529"/>
          <w:sz w:val="28"/>
          <w:szCs w:val="28"/>
        </w:rPr>
        <w:t>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Times New Roman CYR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0f19"/>
    <w:pPr>
      <w:widowControl/>
      <w:bidi w:val="0"/>
      <w:spacing w:lineRule="auto" w:line="259" w:before="0" w:after="16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a2528"/>
    <w:rPr>
      <w:color w:val="0563C1" w:themeColor="hyperlink"/>
      <w:u w:val="single"/>
    </w:rPr>
  </w:style>
  <w:style w:type="character" w:styleId="Style15">
    <w:name w:val="Посещённая гиперссылка"/>
    <w:basedOn w:val="DefaultParagraphFont"/>
    <w:uiPriority w:val="99"/>
    <w:semiHidden/>
    <w:unhideWhenUsed/>
    <w:rsid w:val="00a56235"/>
    <w:rPr>
      <w:color w:val="954F72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itle" w:customStyle="1">
    <w:name w:val="ConsPlusTitl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eastAsia="ru-RU" w:val="ru-RU" w:bidi="ar-SA"/>
    </w:rPr>
  </w:style>
  <w:style w:type="paragraph" w:styleId="ConsPlusNonformat" w:customStyle="1">
    <w:name w:val="ConsPlusNonforma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18"/>
      <w:szCs w:val="18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JurTerm" w:customStyle="1">
    <w:name w:val="ConsPlusJurTerm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1" w:customStyle="1">
    <w:name w:val="ConsPlusTextList1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e2126f"/>
    <w:pPr>
      <w:spacing w:before="0" w:after="160"/>
      <w:ind w:left="720" w:hanging="0"/>
      <w:contextualSpacing/>
    </w:pPr>
    <w:rPr/>
  </w:style>
  <w:style w:type="paragraph" w:styleId="Style21" w:customStyle="1">
    <w:name w:val="Прижатый влево"/>
    <w:basedOn w:val="Normal"/>
    <w:next w:val="Normal"/>
    <w:uiPriority w:val="99"/>
    <w:qFormat/>
    <w:rsid w:val="00e00be9"/>
    <w:pPr>
      <w:widowControl w:val="false"/>
      <w:spacing w:lineRule="auto" w:line="240" w:before="0" w:after="0"/>
    </w:pPr>
    <w:rPr>
      <w:rFonts w:ascii="Times New Roman CYR" w:hAnsi="Times New Roman CYR" w:cs="Times New Roman CYR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roblchess.ru/" TargetMode="External"/><Relationship Id="rId3" Type="http://schemas.openxmlformats.org/officeDocument/2006/relationships/hyperlink" Target="http://cnppm.iro.yar.ru/?page_id=8985" TargetMode="External"/><Relationship Id="rId4" Type="http://schemas.openxmlformats.org/officeDocument/2006/relationships/hyperlink" Target="https://chessinschools.ru/" TargetMode="External"/><Relationship Id="rId5" Type="http://schemas.openxmlformats.org/officeDocument/2006/relationships/hyperlink" Target="https://ruchess.ru/?ysclid=llaw5kxdm736875449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Application>LibreOffice/6.4.7.2$Linux_X86_64 LibreOffice_project/40$Build-2</Application>
  <Pages>12</Pages>
  <Words>2175</Words>
  <Characters>14634</Characters>
  <CharactersWithSpaces>16662</CharactersWithSpaces>
  <Paragraphs>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2023-08-07T05:44:00Z</dcterms:created>
  <dc:creator>Александр Павлович Щербак</dc:creator>
  <dc:description/>
  <dc:language>ru-RU</dc:language>
  <cp:lastModifiedBy/>
  <dcterms:modified xsi:type="dcterms:W3CDTF">2026-09-07T15:09:54Z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